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99"/>
        <w:gridCol w:w="6623"/>
      </w:tblGrid>
      <w:tr w14:paraId="04347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22" w:type="dxa"/>
            <w:gridSpan w:val="2"/>
            <w:vAlign w:val="center"/>
          </w:tcPr>
          <w:p w14:paraId="1606F0DB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sz w:val="32"/>
                <w:szCs w:val="32"/>
                <w:vertAlign w:val="baseline"/>
              </w:rPr>
              <w:t>重庆市轻工业学校教师办公室装饰工程</w:t>
            </w:r>
            <w:bookmarkEnd w:id="0"/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更正公告</w:t>
            </w:r>
          </w:p>
        </w:tc>
      </w:tr>
      <w:tr w14:paraId="2FE8B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899" w:type="dxa"/>
            <w:vAlign w:val="center"/>
          </w:tcPr>
          <w:p w14:paraId="15636050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更正事项</w:t>
            </w:r>
          </w:p>
        </w:tc>
        <w:tc>
          <w:tcPr>
            <w:tcW w:w="6623" w:type="dxa"/>
            <w:vAlign w:val="center"/>
          </w:tcPr>
          <w:p w14:paraId="77DCAFC0"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递交文件日期更改为2025年7月11日12:00</w:t>
            </w:r>
          </w:p>
        </w:tc>
      </w:tr>
    </w:tbl>
    <w:p w14:paraId="0CE582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